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E7B00" w14:textId="77777777" w:rsidR="008C21B0" w:rsidRPr="00E67684" w:rsidRDefault="00845023">
      <w:pPr>
        <w:pStyle w:val="Title"/>
        <w:rPr>
          <w:rFonts w:cstheme="majorHAnsi"/>
          <w:color w:val="auto"/>
        </w:rPr>
      </w:pPr>
      <w:r w:rsidRPr="00E67684">
        <w:rPr>
          <w:rFonts w:cstheme="majorHAnsi"/>
          <w:color w:val="auto"/>
        </w:rPr>
        <w:t>Financial Risk Assessment</w:t>
      </w:r>
    </w:p>
    <w:p w14:paraId="46317F40" w14:textId="418EFD0C" w:rsidR="008C21B0" w:rsidRPr="00E67684" w:rsidRDefault="00845023">
      <w:pPr>
        <w:pStyle w:val="Heading1"/>
        <w:rPr>
          <w:rFonts w:cstheme="majorHAnsi"/>
          <w:color w:val="auto"/>
        </w:rPr>
      </w:pPr>
      <w:r w:rsidRPr="00E67684">
        <w:rPr>
          <w:rFonts w:cstheme="majorHAnsi"/>
          <w:color w:val="auto"/>
        </w:rPr>
        <w:t xml:space="preserve">Ingol </w:t>
      </w:r>
      <w:r w:rsidR="002228D9" w:rsidRPr="00E67684">
        <w:rPr>
          <w:rFonts w:cstheme="majorHAnsi"/>
          <w:color w:val="auto"/>
        </w:rPr>
        <w:t xml:space="preserve">&amp; </w:t>
      </w:r>
      <w:proofErr w:type="spellStart"/>
      <w:r w:rsidR="002228D9" w:rsidRPr="00E67684">
        <w:rPr>
          <w:rFonts w:cstheme="majorHAnsi"/>
          <w:color w:val="auto"/>
        </w:rPr>
        <w:t>Tanterton</w:t>
      </w:r>
      <w:proofErr w:type="spellEnd"/>
      <w:r w:rsidR="002228D9" w:rsidRPr="00E67684">
        <w:rPr>
          <w:rFonts w:cstheme="majorHAnsi"/>
          <w:color w:val="auto"/>
        </w:rPr>
        <w:t xml:space="preserve"> </w:t>
      </w:r>
      <w:proofErr w:type="spellStart"/>
      <w:r w:rsidR="00E215BD" w:rsidRPr="00E67684">
        <w:rPr>
          <w:rFonts w:cstheme="majorHAnsi"/>
          <w:color w:val="auto"/>
        </w:rPr>
        <w:t>Neighbourhood</w:t>
      </w:r>
      <w:proofErr w:type="spellEnd"/>
      <w:r w:rsidRPr="00E67684">
        <w:rPr>
          <w:rFonts w:cstheme="majorHAnsi"/>
          <w:color w:val="auto"/>
        </w:rPr>
        <w:t xml:space="preserve"> Council</w:t>
      </w:r>
    </w:p>
    <w:p w14:paraId="73EB8254" w14:textId="2892B397" w:rsidR="008C21B0" w:rsidRPr="00E67684" w:rsidRDefault="00845023">
      <w:pPr>
        <w:rPr>
          <w:rFonts w:asciiTheme="majorHAnsi" w:hAnsiTheme="majorHAnsi" w:cstheme="majorHAnsi"/>
        </w:rPr>
      </w:pPr>
      <w:r w:rsidRPr="00E67684">
        <w:rPr>
          <w:rFonts w:asciiTheme="majorHAnsi" w:hAnsiTheme="majorHAnsi" w:cstheme="majorHAnsi"/>
        </w:rPr>
        <w:t xml:space="preserve">Assessment Date: </w:t>
      </w:r>
      <w:r w:rsidR="00E67684">
        <w:rPr>
          <w:rFonts w:asciiTheme="majorHAnsi" w:hAnsiTheme="majorHAnsi" w:cstheme="majorHAnsi"/>
        </w:rPr>
        <w:t>1</w:t>
      </w:r>
      <w:r w:rsidR="00E67684" w:rsidRPr="00E67684">
        <w:rPr>
          <w:rFonts w:asciiTheme="majorHAnsi" w:hAnsiTheme="majorHAnsi" w:cstheme="majorHAnsi"/>
          <w:vertAlign w:val="superscript"/>
        </w:rPr>
        <w:t>st</w:t>
      </w:r>
      <w:r w:rsidR="00E67684">
        <w:rPr>
          <w:rFonts w:asciiTheme="majorHAnsi" w:hAnsiTheme="majorHAnsi" w:cstheme="majorHAnsi"/>
        </w:rPr>
        <w:t xml:space="preserve"> July 2026</w:t>
      </w:r>
    </w:p>
    <w:p w14:paraId="2CF3C6AE" w14:textId="284C4450" w:rsidR="008C21B0" w:rsidRPr="00E67684" w:rsidRDefault="00845023">
      <w:pPr>
        <w:rPr>
          <w:rFonts w:asciiTheme="majorHAnsi" w:hAnsiTheme="majorHAnsi" w:cstheme="majorHAnsi"/>
        </w:rPr>
      </w:pPr>
      <w:r w:rsidRPr="00E67684">
        <w:rPr>
          <w:rFonts w:asciiTheme="majorHAnsi" w:hAnsiTheme="majorHAnsi" w:cstheme="majorHAnsi"/>
        </w:rPr>
        <w:t xml:space="preserve">Next Review Due: </w:t>
      </w:r>
      <w:r w:rsidR="00E67684">
        <w:rPr>
          <w:rFonts w:asciiTheme="majorHAnsi" w:hAnsiTheme="majorHAnsi" w:cstheme="majorHAnsi"/>
        </w:rPr>
        <w:t>July 2027</w:t>
      </w:r>
    </w:p>
    <w:p w14:paraId="1F19C5EC" w14:textId="1CFB16E1" w:rsidR="008C21B0" w:rsidRPr="00E67684" w:rsidRDefault="00845023">
      <w:pPr>
        <w:rPr>
          <w:rFonts w:asciiTheme="majorHAnsi" w:hAnsiTheme="majorHAnsi" w:cstheme="majorHAnsi"/>
        </w:rPr>
      </w:pPr>
      <w:r w:rsidRPr="00E67684">
        <w:rPr>
          <w:rFonts w:asciiTheme="majorHAnsi" w:hAnsiTheme="majorHAnsi" w:cstheme="majorHAnsi"/>
        </w:rPr>
        <w:t>Annual Precept: £</w:t>
      </w:r>
      <w:r w:rsidR="00E67684">
        <w:rPr>
          <w:rFonts w:asciiTheme="majorHAnsi" w:hAnsiTheme="majorHAnsi" w:cstheme="majorHAnsi"/>
        </w:rPr>
        <w:t>126,610.00</w:t>
      </w:r>
    </w:p>
    <w:p w14:paraId="3ACAB7DD" w14:textId="77777777" w:rsidR="008C21B0" w:rsidRPr="00E67684" w:rsidRDefault="00845023">
      <w:pPr>
        <w:rPr>
          <w:rFonts w:asciiTheme="majorHAnsi" w:hAnsiTheme="majorHAnsi" w:cstheme="majorHAnsi"/>
        </w:rPr>
      </w:pPr>
      <w:r w:rsidRPr="00E67684">
        <w:rPr>
          <w:rFonts w:asciiTheme="majorHAnsi" w:hAnsiTheme="majorHAnsi" w:cstheme="majorHAnsi"/>
        </w:rPr>
        <w:t>Staff: 1 (Clerk/RFO)</w:t>
      </w:r>
    </w:p>
    <w:p w14:paraId="0DFC7DEB" w14:textId="77777777" w:rsidR="008C21B0" w:rsidRPr="00E67684" w:rsidRDefault="00845023">
      <w:pPr>
        <w:rPr>
          <w:rFonts w:asciiTheme="majorHAnsi" w:hAnsiTheme="majorHAnsi" w:cstheme="majorHAnsi"/>
        </w:rPr>
      </w:pPr>
      <w:r w:rsidRPr="00E67684">
        <w:rPr>
          <w:rFonts w:asciiTheme="majorHAnsi" w:hAnsiTheme="majorHAnsi" w:cstheme="majorHAnsi"/>
        </w:rPr>
        <w:t>Key Assets: Playgrounds, Noticeboards, Defibrillator, Benches, Planters</w:t>
      </w:r>
    </w:p>
    <w:p w14:paraId="2A7751AD" w14:textId="77777777" w:rsidR="008C21B0" w:rsidRPr="00E67684" w:rsidRDefault="00845023">
      <w:pPr>
        <w:pStyle w:val="Heading2"/>
        <w:rPr>
          <w:rFonts w:cstheme="majorHAnsi"/>
          <w:color w:val="auto"/>
        </w:rPr>
      </w:pPr>
      <w:r w:rsidRPr="00E67684">
        <w:rPr>
          <w:rFonts w:cstheme="majorHAnsi"/>
          <w:color w:val="auto"/>
        </w:rPr>
        <w:t>Financial Risk Register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762"/>
        <w:gridCol w:w="1146"/>
        <w:gridCol w:w="992"/>
        <w:gridCol w:w="1981"/>
        <w:gridCol w:w="1309"/>
      </w:tblGrid>
      <w:tr w:rsidR="008C21B0" w:rsidRPr="00E67684" w14:paraId="55536E70" w14:textId="77777777">
        <w:tc>
          <w:tcPr>
            <w:tcW w:w="1440" w:type="dxa"/>
          </w:tcPr>
          <w:p w14:paraId="3E852141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Risk Area</w:t>
            </w:r>
          </w:p>
        </w:tc>
        <w:tc>
          <w:tcPr>
            <w:tcW w:w="1440" w:type="dxa"/>
          </w:tcPr>
          <w:p w14:paraId="1459986D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Potential Risk</w:t>
            </w:r>
          </w:p>
        </w:tc>
        <w:tc>
          <w:tcPr>
            <w:tcW w:w="1440" w:type="dxa"/>
          </w:tcPr>
          <w:p w14:paraId="4C3950F5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Likelihood</w:t>
            </w:r>
          </w:p>
        </w:tc>
        <w:tc>
          <w:tcPr>
            <w:tcW w:w="1440" w:type="dxa"/>
          </w:tcPr>
          <w:p w14:paraId="4DE3AC28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Impact</w:t>
            </w:r>
          </w:p>
        </w:tc>
        <w:tc>
          <w:tcPr>
            <w:tcW w:w="1440" w:type="dxa"/>
          </w:tcPr>
          <w:p w14:paraId="32505C9D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Mitigation/Controls in Place</w:t>
            </w:r>
          </w:p>
        </w:tc>
        <w:tc>
          <w:tcPr>
            <w:tcW w:w="1440" w:type="dxa"/>
          </w:tcPr>
          <w:p w14:paraId="4FFDC3F5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Action Required</w:t>
            </w:r>
          </w:p>
        </w:tc>
      </w:tr>
      <w:tr w:rsidR="008C21B0" w:rsidRPr="00E67684" w14:paraId="2663AE91" w14:textId="77777777">
        <w:tc>
          <w:tcPr>
            <w:tcW w:w="1440" w:type="dxa"/>
          </w:tcPr>
          <w:p w14:paraId="7CC08FC2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Cash Flow / Budgeting</w:t>
            </w:r>
          </w:p>
        </w:tc>
        <w:tc>
          <w:tcPr>
            <w:tcW w:w="1440" w:type="dxa"/>
          </w:tcPr>
          <w:p w14:paraId="0257F3DA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Inaccurate or delayed budget could lead to overspending</w:t>
            </w:r>
          </w:p>
        </w:tc>
        <w:tc>
          <w:tcPr>
            <w:tcW w:w="1440" w:type="dxa"/>
          </w:tcPr>
          <w:p w14:paraId="033294BE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Low</w:t>
            </w:r>
          </w:p>
        </w:tc>
        <w:tc>
          <w:tcPr>
            <w:tcW w:w="1440" w:type="dxa"/>
          </w:tcPr>
          <w:p w14:paraId="4680E663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High</w:t>
            </w:r>
          </w:p>
        </w:tc>
        <w:tc>
          <w:tcPr>
            <w:tcW w:w="1440" w:type="dxa"/>
          </w:tcPr>
          <w:p w14:paraId="5A1338A1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Annual budget approved by full council; periodic budget reviews</w:t>
            </w:r>
          </w:p>
        </w:tc>
        <w:tc>
          <w:tcPr>
            <w:tcW w:w="1440" w:type="dxa"/>
          </w:tcPr>
          <w:p w14:paraId="2E70546D" w14:textId="2A83BF27" w:rsidR="008C21B0" w:rsidRPr="00E67684" w:rsidRDefault="00845023">
            <w:pPr>
              <w:rPr>
                <w:rFonts w:asciiTheme="majorHAnsi" w:hAnsiTheme="majorHAnsi" w:cstheme="majorHAnsi"/>
              </w:rPr>
            </w:pPr>
            <w:proofErr w:type="gramStart"/>
            <w:r w:rsidRPr="00E67684">
              <w:rPr>
                <w:rFonts w:asciiTheme="majorHAnsi" w:hAnsiTheme="majorHAnsi" w:cstheme="majorHAnsi"/>
              </w:rPr>
              <w:t>Continue</w:t>
            </w:r>
            <w:proofErr w:type="gramEnd"/>
            <w:r w:rsidRPr="00E67684">
              <w:rPr>
                <w:rFonts w:asciiTheme="majorHAnsi" w:hAnsiTheme="majorHAnsi" w:cstheme="majorHAnsi"/>
              </w:rPr>
              <w:t xml:space="preserve"> quarterly budget reviews</w:t>
            </w:r>
          </w:p>
        </w:tc>
      </w:tr>
      <w:tr w:rsidR="008C21B0" w:rsidRPr="00E67684" w14:paraId="5D828D97" w14:textId="77777777">
        <w:tc>
          <w:tcPr>
            <w:tcW w:w="1440" w:type="dxa"/>
          </w:tcPr>
          <w:p w14:paraId="592CC9C4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Fraud / Misuse of Funds</w:t>
            </w:r>
          </w:p>
        </w:tc>
        <w:tc>
          <w:tcPr>
            <w:tcW w:w="1440" w:type="dxa"/>
          </w:tcPr>
          <w:p w14:paraId="26453CEC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Financial fraud or misappropriation of funds</w:t>
            </w:r>
          </w:p>
        </w:tc>
        <w:tc>
          <w:tcPr>
            <w:tcW w:w="1440" w:type="dxa"/>
          </w:tcPr>
          <w:p w14:paraId="493EDF9C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Low</w:t>
            </w:r>
          </w:p>
        </w:tc>
        <w:tc>
          <w:tcPr>
            <w:tcW w:w="1440" w:type="dxa"/>
          </w:tcPr>
          <w:p w14:paraId="0C152E27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High</w:t>
            </w:r>
          </w:p>
        </w:tc>
        <w:tc>
          <w:tcPr>
            <w:tcW w:w="1440" w:type="dxa"/>
          </w:tcPr>
          <w:p w14:paraId="239856C7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Dual signatories, bank reconciliations, internal controls</w:t>
            </w:r>
          </w:p>
        </w:tc>
        <w:tc>
          <w:tcPr>
            <w:tcW w:w="1440" w:type="dxa"/>
          </w:tcPr>
          <w:p w14:paraId="2645C425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Review banking access and signatories annually</w:t>
            </w:r>
          </w:p>
        </w:tc>
      </w:tr>
      <w:tr w:rsidR="008C21B0" w:rsidRPr="00E67684" w14:paraId="48076FAD" w14:textId="77777777">
        <w:tc>
          <w:tcPr>
            <w:tcW w:w="1440" w:type="dxa"/>
          </w:tcPr>
          <w:p w14:paraId="747EC500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Loss of Clerk/RFO</w:t>
            </w:r>
          </w:p>
        </w:tc>
        <w:tc>
          <w:tcPr>
            <w:tcW w:w="1440" w:type="dxa"/>
          </w:tcPr>
          <w:p w14:paraId="3E588776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Loss of sole staff could disrupt operations</w:t>
            </w:r>
          </w:p>
        </w:tc>
        <w:tc>
          <w:tcPr>
            <w:tcW w:w="1440" w:type="dxa"/>
          </w:tcPr>
          <w:p w14:paraId="65519A73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Medium</w:t>
            </w:r>
          </w:p>
        </w:tc>
        <w:tc>
          <w:tcPr>
            <w:tcW w:w="1440" w:type="dxa"/>
          </w:tcPr>
          <w:p w14:paraId="069F0CCA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High</w:t>
            </w:r>
          </w:p>
        </w:tc>
        <w:tc>
          <w:tcPr>
            <w:tcW w:w="1440" w:type="dxa"/>
          </w:tcPr>
          <w:p w14:paraId="1EBA6126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Documented procedures, access to locum Clerk services</w:t>
            </w:r>
          </w:p>
        </w:tc>
        <w:tc>
          <w:tcPr>
            <w:tcW w:w="1440" w:type="dxa"/>
          </w:tcPr>
          <w:p w14:paraId="6F2DB862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Consider succession plan or backup support options</w:t>
            </w:r>
          </w:p>
        </w:tc>
      </w:tr>
      <w:tr w:rsidR="008C21B0" w:rsidRPr="00E67684" w14:paraId="6860F600" w14:textId="77777777">
        <w:tc>
          <w:tcPr>
            <w:tcW w:w="1440" w:type="dxa"/>
          </w:tcPr>
          <w:p w14:paraId="60542539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Playground Safety</w:t>
            </w:r>
          </w:p>
        </w:tc>
        <w:tc>
          <w:tcPr>
            <w:tcW w:w="1440" w:type="dxa"/>
          </w:tcPr>
          <w:p w14:paraId="1724F2B2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 xml:space="preserve">Injury or damage </w:t>
            </w:r>
            <w:proofErr w:type="gramStart"/>
            <w:r w:rsidRPr="00E67684">
              <w:rPr>
                <w:rFonts w:asciiTheme="majorHAnsi" w:hAnsiTheme="majorHAnsi" w:cstheme="majorHAnsi"/>
              </w:rPr>
              <w:t>from</w:t>
            </w:r>
            <w:proofErr w:type="gramEnd"/>
            <w:r w:rsidRPr="00E67684">
              <w:rPr>
                <w:rFonts w:asciiTheme="majorHAnsi" w:hAnsiTheme="majorHAnsi" w:cstheme="majorHAnsi"/>
              </w:rPr>
              <w:t xml:space="preserve"> play equipment</w:t>
            </w:r>
          </w:p>
        </w:tc>
        <w:tc>
          <w:tcPr>
            <w:tcW w:w="1440" w:type="dxa"/>
          </w:tcPr>
          <w:p w14:paraId="7F7F5B38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Medium</w:t>
            </w:r>
          </w:p>
        </w:tc>
        <w:tc>
          <w:tcPr>
            <w:tcW w:w="1440" w:type="dxa"/>
          </w:tcPr>
          <w:p w14:paraId="53DB7B43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High</w:t>
            </w:r>
          </w:p>
        </w:tc>
        <w:tc>
          <w:tcPr>
            <w:tcW w:w="1440" w:type="dxa"/>
          </w:tcPr>
          <w:p w14:paraId="2614A65D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Weekly checks, annual RoSPA inspection, public liability insurance</w:t>
            </w:r>
          </w:p>
        </w:tc>
        <w:tc>
          <w:tcPr>
            <w:tcW w:w="1440" w:type="dxa"/>
          </w:tcPr>
          <w:p w14:paraId="013EFC48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 xml:space="preserve">Ensure inspections are logged and </w:t>
            </w:r>
            <w:proofErr w:type="gramStart"/>
            <w:r w:rsidRPr="00E67684">
              <w:rPr>
                <w:rFonts w:asciiTheme="majorHAnsi" w:hAnsiTheme="majorHAnsi" w:cstheme="majorHAnsi"/>
              </w:rPr>
              <w:t>up-to-date</w:t>
            </w:r>
            <w:proofErr w:type="gramEnd"/>
          </w:p>
        </w:tc>
      </w:tr>
      <w:tr w:rsidR="008C21B0" w:rsidRPr="00E67684" w14:paraId="153E48BC" w14:textId="77777777">
        <w:tc>
          <w:tcPr>
            <w:tcW w:w="1440" w:type="dxa"/>
          </w:tcPr>
          <w:p w14:paraId="6ACA3F68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Asset Damage or Theft</w:t>
            </w:r>
          </w:p>
        </w:tc>
        <w:tc>
          <w:tcPr>
            <w:tcW w:w="1440" w:type="dxa"/>
          </w:tcPr>
          <w:p w14:paraId="6BEF632D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Vandalism or weather damage to noticeboards, benches, etc.</w:t>
            </w:r>
          </w:p>
        </w:tc>
        <w:tc>
          <w:tcPr>
            <w:tcW w:w="1440" w:type="dxa"/>
          </w:tcPr>
          <w:p w14:paraId="59BCB2DA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Medium</w:t>
            </w:r>
          </w:p>
        </w:tc>
        <w:tc>
          <w:tcPr>
            <w:tcW w:w="1440" w:type="dxa"/>
          </w:tcPr>
          <w:p w14:paraId="372638A0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Medium</w:t>
            </w:r>
          </w:p>
        </w:tc>
        <w:tc>
          <w:tcPr>
            <w:tcW w:w="1440" w:type="dxa"/>
          </w:tcPr>
          <w:p w14:paraId="50572D63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Regular checks, adequate insurance</w:t>
            </w:r>
          </w:p>
        </w:tc>
        <w:tc>
          <w:tcPr>
            <w:tcW w:w="1440" w:type="dxa"/>
          </w:tcPr>
          <w:p w14:paraId="3B7511F2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Consider asset condition log</w:t>
            </w:r>
          </w:p>
        </w:tc>
      </w:tr>
      <w:tr w:rsidR="008C21B0" w:rsidRPr="00E67684" w14:paraId="2FF6A177" w14:textId="77777777">
        <w:tc>
          <w:tcPr>
            <w:tcW w:w="1440" w:type="dxa"/>
          </w:tcPr>
          <w:p w14:paraId="11790348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Defibrillator Maintenance</w:t>
            </w:r>
          </w:p>
        </w:tc>
        <w:tc>
          <w:tcPr>
            <w:tcW w:w="1440" w:type="dxa"/>
          </w:tcPr>
          <w:p w14:paraId="6A7F905C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Failure to maintain could risk public safety</w:t>
            </w:r>
          </w:p>
        </w:tc>
        <w:tc>
          <w:tcPr>
            <w:tcW w:w="1440" w:type="dxa"/>
          </w:tcPr>
          <w:p w14:paraId="3AD203E5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Low</w:t>
            </w:r>
          </w:p>
        </w:tc>
        <w:tc>
          <w:tcPr>
            <w:tcW w:w="1440" w:type="dxa"/>
          </w:tcPr>
          <w:p w14:paraId="25EC464E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High</w:t>
            </w:r>
          </w:p>
        </w:tc>
        <w:tc>
          <w:tcPr>
            <w:tcW w:w="1440" w:type="dxa"/>
          </w:tcPr>
          <w:p w14:paraId="7451D734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Maintenance schedule and visual checks</w:t>
            </w:r>
          </w:p>
        </w:tc>
        <w:tc>
          <w:tcPr>
            <w:tcW w:w="1440" w:type="dxa"/>
          </w:tcPr>
          <w:p w14:paraId="02B9E0ED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Confirm battery and pad expiry tracking</w:t>
            </w:r>
          </w:p>
        </w:tc>
      </w:tr>
      <w:tr w:rsidR="008C21B0" w:rsidRPr="00E67684" w14:paraId="19B53386" w14:textId="77777777">
        <w:tc>
          <w:tcPr>
            <w:tcW w:w="1440" w:type="dxa"/>
          </w:tcPr>
          <w:p w14:paraId="239D2302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lastRenderedPageBreak/>
              <w:t>VAT Claims</w:t>
            </w:r>
          </w:p>
        </w:tc>
        <w:tc>
          <w:tcPr>
            <w:tcW w:w="1440" w:type="dxa"/>
          </w:tcPr>
          <w:p w14:paraId="5E54C6DC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Delay or error in reclaiming VAT</w:t>
            </w:r>
          </w:p>
        </w:tc>
        <w:tc>
          <w:tcPr>
            <w:tcW w:w="1440" w:type="dxa"/>
          </w:tcPr>
          <w:p w14:paraId="755DDC88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Low</w:t>
            </w:r>
          </w:p>
        </w:tc>
        <w:tc>
          <w:tcPr>
            <w:tcW w:w="1440" w:type="dxa"/>
          </w:tcPr>
          <w:p w14:paraId="2CE23BDA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Medium</w:t>
            </w:r>
          </w:p>
        </w:tc>
        <w:tc>
          <w:tcPr>
            <w:tcW w:w="1440" w:type="dxa"/>
          </w:tcPr>
          <w:p w14:paraId="7E1EEA24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VAT returns prepared and submitted quarterly or annually</w:t>
            </w:r>
          </w:p>
        </w:tc>
        <w:tc>
          <w:tcPr>
            <w:tcW w:w="1440" w:type="dxa"/>
          </w:tcPr>
          <w:p w14:paraId="03096004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Maintain detailed invoices and claim record</w:t>
            </w:r>
          </w:p>
        </w:tc>
      </w:tr>
      <w:tr w:rsidR="008C21B0" w:rsidRPr="00E67684" w14:paraId="13B2DC50" w14:textId="77777777">
        <w:tc>
          <w:tcPr>
            <w:tcW w:w="1440" w:type="dxa"/>
          </w:tcPr>
          <w:p w14:paraId="57866CC1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Lack of Reserves</w:t>
            </w:r>
          </w:p>
        </w:tc>
        <w:tc>
          <w:tcPr>
            <w:tcW w:w="1440" w:type="dxa"/>
          </w:tcPr>
          <w:p w14:paraId="5B07071F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Insufficient funds for emergencies</w:t>
            </w:r>
          </w:p>
        </w:tc>
        <w:tc>
          <w:tcPr>
            <w:tcW w:w="1440" w:type="dxa"/>
          </w:tcPr>
          <w:p w14:paraId="37A91664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Medium</w:t>
            </w:r>
          </w:p>
        </w:tc>
        <w:tc>
          <w:tcPr>
            <w:tcW w:w="1440" w:type="dxa"/>
          </w:tcPr>
          <w:p w14:paraId="6CCCC3E8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High</w:t>
            </w:r>
          </w:p>
        </w:tc>
        <w:tc>
          <w:tcPr>
            <w:tcW w:w="1440" w:type="dxa"/>
          </w:tcPr>
          <w:p w14:paraId="0684835C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General reserves policy in place</w:t>
            </w:r>
          </w:p>
        </w:tc>
        <w:tc>
          <w:tcPr>
            <w:tcW w:w="1440" w:type="dxa"/>
          </w:tcPr>
          <w:p w14:paraId="24B01F70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Ensure minimum 3-6 months' expenditure held in reserve</w:t>
            </w:r>
          </w:p>
        </w:tc>
      </w:tr>
      <w:tr w:rsidR="008C21B0" w:rsidRPr="00E67684" w14:paraId="7E699516" w14:textId="77777777">
        <w:tc>
          <w:tcPr>
            <w:tcW w:w="1440" w:type="dxa"/>
          </w:tcPr>
          <w:p w14:paraId="4FBAAD9F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Non-compliance (Audit, AGAR)</w:t>
            </w:r>
          </w:p>
        </w:tc>
        <w:tc>
          <w:tcPr>
            <w:tcW w:w="1440" w:type="dxa"/>
          </w:tcPr>
          <w:p w14:paraId="47A38E51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Failure to meet statutory deadlines</w:t>
            </w:r>
          </w:p>
        </w:tc>
        <w:tc>
          <w:tcPr>
            <w:tcW w:w="1440" w:type="dxa"/>
          </w:tcPr>
          <w:p w14:paraId="6897A64B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Low</w:t>
            </w:r>
          </w:p>
        </w:tc>
        <w:tc>
          <w:tcPr>
            <w:tcW w:w="1440" w:type="dxa"/>
          </w:tcPr>
          <w:p w14:paraId="1CD38887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High</w:t>
            </w:r>
          </w:p>
        </w:tc>
        <w:tc>
          <w:tcPr>
            <w:tcW w:w="1440" w:type="dxa"/>
          </w:tcPr>
          <w:p w14:paraId="7A29717D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Calendar of key deadlines; internal audit support</w:t>
            </w:r>
          </w:p>
        </w:tc>
        <w:tc>
          <w:tcPr>
            <w:tcW w:w="1440" w:type="dxa"/>
          </w:tcPr>
          <w:p w14:paraId="22F3CF6F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Set key dates in Clerk's calendar</w:t>
            </w:r>
          </w:p>
        </w:tc>
      </w:tr>
      <w:tr w:rsidR="008C21B0" w:rsidRPr="00E67684" w14:paraId="2C26F66D" w14:textId="77777777">
        <w:tc>
          <w:tcPr>
            <w:tcW w:w="1440" w:type="dxa"/>
          </w:tcPr>
          <w:p w14:paraId="33895CF0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Cybersecurity / Data Loss</w:t>
            </w:r>
          </w:p>
        </w:tc>
        <w:tc>
          <w:tcPr>
            <w:tcW w:w="1440" w:type="dxa"/>
          </w:tcPr>
          <w:p w14:paraId="37BF250D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Loss or breach of digital financial records</w:t>
            </w:r>
          </w:p>
        </w:tc>
        <w:tc>
          <w:tcPr>
            <w:tcW w:w="1440" w:type="dxa"/>
          </w:tcPr>
          <w:p w14:paraId="3AFD309A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Medium</w:t>
            </w:r>
          </w:p>
        </w:tc>
        <w:tc>
          <w:tcPr>
            <w:tcW w:w="1440" w:type="dxa"/>
          </w:tcPr>
          <w:p w14:paraId="1E3E455C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High</w:t>
            </w:r>
          </w:p>
        </w:tc>
        <w:tc>
          <w:tcPr>
            <w:tcW w:w="1440" w:type="dxa"/>
          </w:tcPr>
          <w:p w14:paraId="55F7A3DA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Password protection, secure backups</w:t>
            </w:r>
          </w:p>
        </w:tc>
        <w:tc>
          <w:tcPr>
            <w:tcW w:w="1440" w:type="dxa"/>
          </w:tcPr>
          <w:p w14:paraId="1855BC56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Review data protection policies annually</w:t>
            </w:r>
          </w:p>
        </w:tc>
      </w:tr>
    </w:tbl>
    <w:p w14:paraId="6DC87C80" w14:textId="77777777" w:rsidR="008C21B0" w:rsidRPr="00E67684" w:rsidRDefault="00845023">
      <w:pPr>
        <w:pStyle w:val="Heading2"/>
        <w:rPr>
          <w:rFonts w:cstheme="majorHAnsi"/>
          <w:color w:val="auto"/>
        </w:rPr>
      </w:pPr>
      <w:r w:rsidRPr="00E67684">
        <w:rPr>
          <w:rFonts w:cstheme="majorHAnsi"/>
          <w:color w:val="auto"/>
        </w:rPr>
        <w:t>Review &amp; Monitoring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8C21B0" w:rsidRPr="00E67684" w14:paraId="7DF9B5E4" w14:textId="77777777">
        <w:tc>
          <w:tcPr>
            <w:tcW w:w="2880" w:type="dxa"/>
          </w:tcPr>
          <w:p w14:paraId="3F5D3096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Process</w:t>
            </w:r>
          </w:p>
        </w:tc>
        <w:tc>
          <w:tcPr>
            <w:tcW w:w="2880" w:type="dxa"/>
          </w:tcPr>
          <w:p w14:paraId="751DCE85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Frequency</w:t>
            </w:r>
          </w:p>
        </w:tc>
        <w:tc>
          <w:tcPr>
            <w:tcW w:w="2880" w:type="dxa"/>
          </w:tcPr>
          <w:p w14:paraId="1388B0F7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Who</w:t>
            </w:r>
          </w:p>
        </w:tc>
      </w:tr>
      <w:tr w:rsidR="008C21B0" w:rsidRPr="00E67684" w14:paraId="5440BBF1" w14:textId="77777777">
        <w:tc>
          <w:tcPr>
            <w:tcW w:w="2880" w:type="dxa"/>
          </w:tcPr>
          <w:p w14:paraId="6FC3D493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Financial Risk Register Review</w:t>
            </w:r>
          </w:p>
        </w:tc>
        <w:tc>
          <w:tcPr>
            <w:tcW w:w="2880" w:type="dxa"/>
          </w:tcPr>
          <w:p w14:paraId="46BF0935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Annually (or after major incident)</w:t>
            </w:r>
          </w:p>
        </w:tc>
        <w:tc>
          <w:tcPr>
            <w:tcW w:w="2880" w:type="dxa"/>
          </w:tcPr>
          <w:p w14:paraId="29D10F32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Full Council</w:t>
            </w:r>
          </w:p>
        </w:tc>
      </w:tr>
      <w:tr w:rsidR="008C21B0" w:rsidRPr="00E67684" w14:paraId="3F3E5859" w14:textId="77777777">
        <w:tc>
          <w:tcPr>
            <w:tcW w:w="2880" w:type="dxa"/>
          </w:tcPr>
          <w:p w14:paraId="5276F107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Budget Monitoring Report</w:t>
            </w:r>
          </w:p>
        </w:tc>
        <w:tc>
          <w:tcPr>
            <w:tcW w:w="2880" w:type="dxa"/>
          </w:tcPr>
          <w:p w14:paraId="380989A3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Quarterly</w:t>
            </w:r>
          </w:p>
        </w:tc>
        <w:tc>
          <w:tcPr>
            <w:tcW w:w="2880" w:type="dxa"/>
          </w:tcPr>
          <w:p w14:paraId="60F201DD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Clerk/RFO + Council</w:t>
            </w:r>
          </w:p>
        </w:tc>
      </w:tr>
      <w:tr w:rsidR="008C21B0" w:rsidRPr="00E67684" w14:paraId="277BDAB1" w14:textId="77777777">
        <w:tc>
          <w:tcPr>
            <w:tcW w:w="2880" w:type="dxa"/>
          </w:tcPr>
          <w:p w14:paraId="55D018BC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Internal Audit</w:t>
            </w:r>
          </w:p>
        </w:tc>
        <w:tc>
          <w:tcPr>
            <w:tcW w:w="2880" w:type="dxa"/>
          </w:tcPr>
          <w:p w14:paraId="2B51CC4D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Annually</w:t>
            </w:r>
          </w:p>
        </w:tc>
        <w:tc>
          <w:tcPr>
            <w:tcW w:w="2880" w:type="dxa"/>
          </w:tcPr>
          <w:p w14:paraId="7C175DF1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Independent Internal Auditor</w:t>
            </w:r>
          </w:p>
        </w:tc>
      </w:tr>
      <w:tr w:rsidR="008C21B0" w:rsidRPr="00E67684" w14:paraId="62648742" w14:textId="77777777">
        <w:tc>
          <w:tcPr>
            <w:tcW w:w="2880" w:type="dxa"/>
          </w:tcPr>
          <w:p w14:paraId="558180C1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External Audit Submission (AGAR)</w:t>
            </w:r>
          </w:p>
        </w:tc>
        <w:tc>
          <w:tcPr>
            <w:tcW w:w="2880" w:type="dxa"/>
          </w:tcPr>
          <w:p w14:paraId="64355EC0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Annually (by July)</w:t>
            </w:r>
          </w:p>
        </w:tc>
        <w:tc>
          <w:tcPr>
            <w:tcW w:w="2880" w:type="dxa"/>
          </w:tcPr>
          <w:p w14:paraId="6E80E881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Clerk/RFO</w:t>
            </w:r>
          </w:p>
        </w:tc>
      </w:tr>
      <w:tr w:rsidR="008C21B0" w:rsidRPr="00E67684" w14:paraId="29759033" w14:textId="77777777">
        <w:tc>
          <w:tcPr>
            <w:tcW w:w="2880" w:type="dxa"/>
          </w:tcPr>
          <w:p w14:paraId="45A5EC7B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Playground Inspections</w:t>
            </w:r>
          </w:p>
        </w:tc>
        <w:tc>
          <w:tcPr>
            <w:tcW w:w="2880" w:type="dxa"/>
          </w:tcPr>
          <w:p w14:paraId="096E0E0B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Weekly (visual), Annually (RoSPA)</w:t>
            </w:r>
          </w:p>
        </w:tc>
        <w:tc>
          <w:tcPr>
            <w:tcW w:w="2880" w:type="dxa"/>
          </w:tcPr>
          <w:p w14:paraId="5E1D69ED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Clerk / Contractor</w:t>
            </w:r>
          </w:p>
        </w:tc>
      </w:tr>
      <w:tr w:rsidR="008C21B0" w:rsidRPr="00E67684" w14:paraId="2C27ACF3" w14:textId="77777777">
        <w:tc>
          <w:tcPr>
            <w:tcW w:w="2880" w:type="dxa"/>
          </w:tcPr>
          <w:p w14:paraId="1E29CBF9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Asset Register Update</w:t>
            </w:r>
          </w:p>
        </w:tc>
        <w:tc>
          <w:tcPr>
            <w:tcW w:w="2880" w:type="dxa"/>
          </w:tcPr>
          <w:p w14:paraId="4482C1F5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Annually</w:t>
            </w:r>
          </w:p>
        </w:tc>
        <w:tc>
          <w:tcPr>
            <w:tcW w:w="2880" w:type="dxa"/>
          </w:tcPr>
          <w:p w14:paraId="6757BE2D" w14:textId="77777777" w:rsidR="008C21B0" w:rsidRPr="00E67684" w:rsidRDefault="00845023">
            <w:pPr>
              <w:rPr>
                <w:rFonts w:asciiTheme="majorHAnsi" w:hAnsiTheme="majorHAnsi" w:cstheme="majorHAnsi"/>
              </w:rPr>
            </w:pPr>
            <w:r w:rsidRPr="00E67684">
              <w:rPr>
                <w:rFonts w:asciiTheme="majorHAnsi" w:hAnsiTheme="majorHAnsi" w:cstheme="majorHAnsi"/>
              </w:rPr>
              <w:t>Clerk/RFO</w:t>
            </w:r>
          </w:p>
        </w:tc>
      </w:tr>
    </w:tbl>
    <w:p w14:paraId="0922AFA3" w14:textId="77777777" w:rsidR="008C21B0" w:rsidRPr="00E67684" w:rsidRDefault="00845023">
      <w:pPr>
        <w:pStyle w:val="Heading2"/>
        <w:rPr>
          <w:rFonts w:cstheme="majorHAnsi"/>
          <w:color w:val="auto"/>
        </w:rPr>
      </w:pPr>
      <w:r w:rsidRPr="00E67684">
        <w:rPr>
          <w:rFonts w:cstheme="majorHAnsi"/>
          <w:color w:val="auto"/>
        </w:rPr>
        <w:t>Supporting Documents</w:t>
      </w:r>
    </w:p>
    <w:p w14:paraId="12B8AD06" w14:textId="77777777" w:rsidR="008C21B0" w:rsidRPr="00E67684" w:rsidRDefault="00845023">
      <w:pPr>
        <w:rPr>
          <w:rFonts w:asciiTheme="majorHAnsi" w:hAnsiTheme="majorHAnsi" w:cstheme="majorHAnsi"/>
        </w:rPr>
      </w:pPr>
      <w:r w:rsidRPr="00E67684">
        <w:rPr>
          <w:rFonts w:asciiTheme="majorHAnsi" w:hAnsiTheme="majorHAnsi" w:cstheme="majorHAnsi"/>
        </w:rPr>
        <w:t>• Budget &amp; Precept Papers</w:t>
      </w:r>
      <w:r w:rsidRPr="00E67684">
        <w:rPr>
          <w:rFonts w:asciiTheme="majorHAnsi" w:hAnsiTheme="majorHAnsi" w:cstheme="majorHAnsi"/>
        </w:rPr>
        <w:br/>
        <w:t>• Asset Register</w:t>
      </w:r>
      <w:r w:rsidRPr="00E67684">
        <w:rPr>
          <w:rFonts w:asciiTheme="majorHAnsi" w:hAnsiTheme="majorHAnsi" w:cstheme="majorHAnsi"/>
        </w:rPr>
        <w:br/>
        <w:t>• Insurance Policy Documents</w:t>
      </w:r>
      <w:r w:rsidRPr="00E67684">
        <w:rPr>
          <w:rFonts w:asciiTheme="majorHAnsi" w:hAnsiTheme="majorHAnsi" w:cstheme="majorHAnsi"/>
        </w:rPr>
        <w:br/>
        <w:t>• Internal Audit Report</w:t>
      </w:r>
      <w:r w:rsidRPr="00E67684">
        <w:rPr>
          <w:rFonts w:asciiTheme="majorHAnsi" w:hAnsiTheme="majorHAnsi" w:cstheme="majorHAnsi"/>
        </w:rPr>
        <w:br/>
        <w:t>• Bank Reconciliations</w:t>
      </w:r>
      <w:r w:rsidRPr="00E67684">
        <w:rPr>
          <w:rFonts w:asciiTheme="majorHAnsi" w:hAnsiTheme="majorHAnsi" w:cstheme="majorHAnsi"/>
        </w:rPr>
        <w:br/>
        <w:t>• Financial Regulations &amp; Standing Orders</w:t>
      </w:r>
      <w:r w:rsidRPr="00E67684">
        <w:rPr>
          <w:rFonts w:asciiTheme="majorHAnsi" w:hAnsiTheme="majorHAnsi" w:cstheme="majorHAnsi"/>
        </w:rPr>
        <w:br/>
        <w:t>• Risk Register (this document)</w:t>
      </w:r>
    </w:p>
    <w:sectPr w:rsidR="008C21B0" w:rsidRPr="00E676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7924095">
    <w:abstractNumId w:val="8"/>
  </w:num>
  <w:num w:numId="2" w16cid:durableId="795609901">
    <w:abstractNumId w:val="6"/>
  </w:num>
  <w:num w:numId="3" w16cid:durableId="1859930656">
    <w:abstractNumId w:val="5"/>
  </w:num>
  <w:num w:numId="4" w16cid:durableId="1999188996">
    <w:abstractNumId w:val="4"/>
  </w:num>
  <w:num w:numId="5" w16cid:durableId="1532524756">
    <w:abstractNumId w:val="7"/>
  </w:num>
  <w:num w:numId="6" w16cid:durableId="1566330806">
    <w:abstractNumId w:val="3"/>
  </w:num>
  <w:num w:numId="7" w16cid:durableId="874849136">
    <w:abstractNumId w:val="2"/>
  </w:num>
  <w:num w:numId="8" w16cid:durableId="1689019382">
    <w:abstractNumId w:val="1"/>
  </w:num>
  <w:num w:numId="9" w16cid:durableId="142580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5655"/>
    <w:rsid w:val="0015074B"/>
    <w:rsid w:val="00180F42"/>
    <w:rsid w:val="002228D9"/>
    <w:rsid w:val="0029639D"/>
    <w:rsid w:val="00326F90"/>
    <w:rsid w:val="00595C58"/>
    <w:rsid w:val="00845023"/>
    <w:rsid w:val="008C21B0"/>
    <w:rsid w:val="00A42C7F"/>
    <w:rsid w:val="00AA1D8D"/>
    <w:rsid w:val="00B47730"/>
    <w:rsid w:val="00CB0664"/>
    <w:rsid w:val="00E215BD"/>
    <w:rsid w:val="00E67684"/>
    <w:rsid w:val="00EA6A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862403"/>
  <w14:defaultImageDpi w14:val="300"/>
  <w15:docId w15:val="{20B40009-30DA-4838-8045-DED213C6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gill mason</cp:lastModifiedBy>
  <cp:revision>2</cp:revision>
  <dcterms:created xsi:type="dcterms:W3CDTF">2026-06-16T08:52:00Z</dcterms:created>
  <dcterms:modified xsi:type="dcterms:W3CDTF">2026-06-16T08:52:00Z</dcterms:modified>
  <cp:category/>
</cp:coreProperties>
</file>